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F5" w:rsidRDefault="004B3470" w:rsidP="00C24907">
      <w:pPr>
        <w:pStyle w:val="Nadpis2"/>
        <w:jc w:val="both"/>
      </w:pPr>
      <w:r>
        <w:rPr>
          <w:rFonts w:asciiTheme="minorHAnsi" w:hAnsiTheme="minorHAnsi" w:cstheme="minorHAnsi"/>
          <w:color w:val="808080" w:themeColor="background1" w:themeShade="80"/>
          <w:sz w:val="28"/>
          <w:szCs w:val="28"/>
          <w:u w:val="none"/>
        </w:rPr>
        <w:t>UV-10</w:t>
      </w:r>
      <w:r w:rsidR="00CC2364">
        <w:rPr>
          <w:rFonts w:asciiTheme="minorHAnsi" w:hAnsiTheme="minorHAnsi" w:cstheme="minorHAnsi"/>
          <w:color w:val="808080" w:themeColor="background1" w:themeShade="80"/>
          <w:sz w:val="28"/>
          <w:szCs w:val="28"/>
          <w:u w:val="none"/>
        </w:rPr>
        <w:t>9</w:t>
      </w:r>
      <w:r w:rsidR="000A698B" w:rsidRPr="000A698B">
        <w:rPr>
          <w:rFonts w:asciiTheme="minorHAnsi" w:hAnsiTheme="minorHAnsi" w:cstheme="minorHAnsi"/>
          <w:color w:val="808080" w:themeColor="background1" w:themeShade="80"/>
          <w:sz w:val="28"/>
          <w:szCs w:val="28"/>
          <w:u w:val="none"/>
        </w:rPr>
        <w:t xml:space="preserve"> </w:t>
      </w:r>
      <w:r>
        <w:rPr>
          <w:rFonts w:asciiTheme="minorHAnsi" w:hAnsiTheme="minorHAnsi" w:cstheme="minorHAnsi"/>
          <w:color w:val="808080" w:themeColor="background1" w:themeShade="80"/>
          <w:sz w:val="28"/>
          <w:szCs w:val="28"/>
          <w:u w:val="none"/>
        </w:rPr>
        <w:t>–</w:t>
      </w:r>
      <w:r w:rsidR="000A698B" w:rsidRPr="000A698B">
        <w:rPr>
          <w:rFonts w:asciiTheme="minorHAnsi" w:hAnsiTheme="minorHAnsi" w:cstheme="minorHAnsi"/>
          <w:color w:val="808080" w:themeColor="background1" w:themeShade="80"/>
          <w:sz w:val="28"/>
          <w:szCs w:val="28"/>
          <w:u w:val="none"/>
        </w:rPr>
        <w:t xml:space="preserve"> </w:t>
      </w:r>
      <w:r>
        <w:rPr>
          <w:rFonts w:asciiTheme="minorHAnsi" w:hAnsiTheme="minorHAnsi" w:cstheme="minorHAnsi"/>
          <w:color w:val="808080" w:themeColor="background1" w:themeShade="80"/>
          <w:sz w:val="28"/>
          <w:szCs w:val="28"/>
          <w:u w:val="none"/>
        </w:rPr>
        <w:t xml:space="preserve">Panel výuky zapojení </w:t>
      </w:r>
      <w:r w:rsidR="00CC2364">
        <w:rPr>
          <w:rFonts w:asciiTheme="minorHAnsi" w:hAnsiTheme="minorHAnsi" w:cstheme="minorHAnsi"/>
          <w:color w:val="808080" w:themeColor="background1" w:themeShade="80"/>
          <w:sz w:val="28"/>
          <w:szCs w:val="28"/>
          <w:u w:val="none"/>
        </w:rPr>
        <w:t xml:space="preserve">inteligentních </w:t>
      </w:r>
      <w:r>
        <w:rPr>
          <w:rFonts w:asciiTheme="minorHAnsi" w:hAnsiTheme="minorHAnsi" w:cstheme="minorHAnsi"/>
          <w:color w:val="808080" w:themeColor="background1" w:themeShade="80"/>
          <w:sz w:val="28"/>
          <w:szCs w:val="28"/>
          <w:u w:val="none"/>
        </w:rPr>
        <w:t>domovních instalací</w:t>
      </w:r>
      <w:r w:rsidR="00CC2364">
        <w:rPr>
          <w:rFonts w:asciiTheme="minorHAnsi" w:hAnsiTheme="minorHAnsi" w:cstheme="minorHAnsi"/>
          <w:color w:val="808080" w:themeColor="background1" w:themeShade="80"/>
          <w:sz w:val="28"/>
          <w:szCs w:val="28"/>
          <w:u w:val="none"/>
        </w:rPr>
        <w:t xml:space="preserve"> </w:t>
      </w:r>
      <w:proofErr w:type="spellStart"/>
      <w:r w:rsidR="00CC2364">
        <w:rPr>
          <w:rFonts w:asciiTheme="minorHAnsi" w:hAnsiTheme="minorHAnsi" w:cstheme="minorHAnsi"/>
          <w:color w:val="808080" w:themeColor="background1" w:themeShade="80"/>
          <w:sz w:val="28"/>
          <w:szCs w:val="28"/>
          <w:u w:val="none"/>
        </w:rPr>
        <w:t>Inels</w:t>
      </w:r>
      <w:proofErr w:type="spellEnd"/>
    </w:p>
    <w:p w:rsidR="00DE35B6" w:rsidRPr="00DE35B6" w:rsidRDefault="00DE35B6" w:rsidP="00C24907">
      <w:pPr>
        <w:pStyle w:val="Nadpis2"/>
        <w:jc w:val="both"/>
        <w:rPr>
          <w:rFonts w:asciiTheme="minorHAnsi" w:hAnsiTheme="minorHAnsi" w:cstheme="minorHAnsi"/>
          <w:color w:val="595959" w:themeColor="text1" w:themeTint="A6"/>
          <w:sz w:val="22"/>
          <w:szCs w:val="22"/>
          <w:u w:val="none"/>
        </w:rPr>
      </w:pPr>
    </w:p>
    <w:p w:rsidR="006F3BAD" w:rsidRDefault="005745A5" w:rsidP="00C24907">
      <w:pPr>
        <w:spacing w:after="0" w:line="240" w:lineRule="auto"/>
        <w:jc w:val="both"/>
        <w:rPr>
          <w:b/>
          <w:sz w:val="24"/>
          <w:szCs w:val="24"/>
        </w:rPr>
      </w:pPr>
      <w:r w:rsidRPr="005745A5">
        <w:rPr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F3BAD" w:rsidRPr="006F3BAD" w:rsidRDefault="006F3BAD" w:rsidP="00C24907">
      <w:pPr>
        <w:jc w:val="both"/>
        <w:rPr>
          <w:b/>
          <w:sz w:val="24"/>
          <w:szCs w:val="24"/>
        </w:rPr>
      </w:pPr>
    </w:p>
    <w:tbl>
      <w:tblPr>
        <w:tblStyle w:val="Svtlseznamzvraznn11"/>
        <w:tblW w:w="0" w:type="auto"/>
        <w:tblBorders>
          <w:top w:val="single" w:sz="8" w:space="0" w:color="C6D9F1" w:themeColor="text2" w:themeTint="33"/>
          <w:left w:val="single" w:sz="8" w:space="0" w:color="C6D9F1" w:themeColor="text2" w:themeTint="33"/>
          <w:bottom w:val="single" w:sz="8" w:space="0" w:color="C6D9F1" w:themeColor="text2" w:themeTint="33"/>
          <w:right w:val="single" w:sz="8" w:space="0" w:color="C6D9F1" w:themeColor="text2" w:themeTint="33"/>
          <w:insideH w:val="single" w:sz="8" w:space="0" w:color="C6D9F1" w:themeColor="text2" w:themeTint="33"/>
          <w:insideV w:val="single" w:sz="8" w:space="0" w:color="C6D9F1" w:themeColor="text2" w:themeTint="33"/>
        </w:tblBorders>
        <w:shd w:val="clear" w:color="auto" w:fill="C6D9F1" w:themeFill="text2" w:themeFillTint="33"/>
        <w:tblLook w:val="04A0"/>
      </w:tblPr>
      <w:tblGrid>
        <w:gridCol w:w="9212"/>
      </w:tblGrid>
      <w:tr w:rsidR="004C646E" w:rsidTr="00EE6677">
        <w:trPr>
          <w:cnfStyle w:val="100000000000"/>
        </w:trPr>
        <w:tc>
          <w:tcPr>
            <w:cnfStyle w:val="001000000000"/>
            <w:tcW w:w="9212" w:type="dxa"/>
            <w:shd w:val="clear" w:color="auto" w:fill="C6D9F1" w:themeFill="text2" w:themeFillTint="33"/>
          </w:tcPr>
          <w:p w:rsidR="004C646E" w:rsidRPr="004C646E" w:rsidRDefault="00CC3F4A" w:rsidP="00C24907">
            <w:pPr>
              <w:jc w:val="both"/>
              <w:rPr>
                <w:b w:val="0"/>
                <w:color w:val="404040" w:themeColor="text1" w:themeTint="BF"/>
                <w:sz w:val="20"/>
                <w:szCs w:val="20"/>
              </w:rPr>
            </w:pPr>
            <w:r>
              <w:rPr>
                <w:b w:val="0"/>
                <w:color w:val="404040" w:themeColor="text1" w:themeTint="BF"/>
                <w:sz w:val="20"/>
                <w:szCs w:val="20"/>
              </w:rPr>
              <w:t>P</w:t>
            </w:r>
            <w:r w:rsidR="004C646E" w:rsidRPr="004C646E">
              <w:rPr>
                <w:b w:val="0"/>
                <w:color w:val="404040" w:themeColor="text1" w:themeTint="BF"/>
                <w:sz w:val="20"/>
                <w:szCs w:val="20"/>
              </w:rPr>
              <w:t>opis</w:t>
            </w:r>
          </w:p>
        </w:tc>
      </w:tr>
    </w:tbl>
    <w:p w:rsidR="00CC2364" w:rsidRDefault="004B3470" w:rsidP="00C24907">
      <w:pPr>
        <w:pStyle w:val="Zkladntext"/>
        <w:spacing w:after="0"/>
        <w:jc w:val="both"/>
        <w:rPr>
          <w:color w:val="111111"/>
          <w:szCs w:val="18"/>
        </w:rPr>
      </w:pPr>
      <w:r>
        <w:rPr>
          <w:color w:val="111111"/>
          <w:szCs w:val="18"/>
        </w:rPr>
        <w:t>Výukový panel UV-10</w:t>
      </w:r>
      <w:r w:rsidR="00CC2364">
        <w:rPr>
          <w:color w:val="111111"/>
          <w:szCs w:val="18"/>
        </w:rPr>
        <w:t>9</w:t>
      </w:r>
      <w:r>
        <w:rPr>
          <w:color w:val="111111"/>
          <w:szCs w:val="18"/>
        </w:rPr>
        <w:t xml:space="preserve"> slouží k procvičování a experimentům při zapojování základních silnoproudých domovních rozvodů </w:t>
      </w:r>
      <w:r w:rsidR="00CC2364">
        <w:rPr>
          <w:color w:val="111111"/>
          <w:szCs w:val="18"/>
        </w:rPr>
        <w:t xml:space="preserve">inteligentního domu s využitím systému </w:t>
      </w:r>
      <w:proofErr w:type="spellStart"/>
      <w:r w:rsidR="00CC2364">
        <w:rPr>
          <w:color w:val="111111"/>
          <w:szCs w:val="18"/>
        </w:rPr>
        <w:t>Inels</w:t>
      </w:r>
      <w:proofErr w:type="spellEnd"/>
      <w:r>
        <w:rPr>
          <w:color w:val="111111"/>
          <w:szCs w:val="18"/>
        </w:rPr>
        <w:t>.</w:t>
      </w:r>
      <w:r w:rsidR="006A4DC6">
        <w:rPr>
          <w:color w:val="111111"/>
          <w:szCs w:val="18"/>
        </w:rPr>
        <w:t xml:space="preserve"> Studenti se seznámí s problematikou moderních systémů ovládání domovních rozvodů a naučí se programovat řídicí systém </w:t>
      </w:r>
      <w:proofErr w:type="spellStart"/>
      <w:r w:rsidR="006A4DC6">
        <w:rPr>
          <w:color w:val="111111"/>
          <w:szCs w:val="18"/>
        </w:rPr>
        <w:t>Inels</w:t>
      </w:r>
      <w:proofErr w:type="spellEnd"/>
      <w:r w:rsidR="006A4DC6">
        <w:rPr>
          <w:color w:val="111111"/>
          <w:szCs w:val="18"/>
        </w:rPr>
        <w:t>.</w:t>
      </w:r>
      <w:r>
        <w:rPr>
          <w:color w:val="111111"/>
          <w:szCs w:val="18"/>
        </w:rPr>
        <w:t xml:space="preserve"> </w:t>
      </w:r>
      <w:r w:rsidR="00154765">
        <w:rPr>
          <w:color w:val="111111"/>
          <w:szCs w:val="18"/>
        </w:rPr>
        <w:t>Pokud mají studenti k dispozici i moduly UV-100 a UV-110, budou moci porovnat výhody a případné nevýhody systému ve srovnání s klasickými silnoproudými rozvody, nebo se systémem postaveným na bázi EIB/KNX.</w:t>
      </w:r>
      <w:r w:rsidR="00222F99">
        <w:rPr>
          <w:color w:val="111111"/>
          <w:szCs w:val="18"/>
        </w:rPr>
        <w:t xml:space="preserve"> Napájení </w:t>
      </w:r>
      <w:r w:rsidR="00CC2364">
        <w:rPr>
          <w:color w:val="111111"/>
          <w:szCs w:val="18"/>
        </w:rPr>
        <w:t xml:space="preserve">tohoto </w:t>
      </w:r>
      <w:r w:rsidR="00222F99">
        <w:rPr>
          <w:color w:val="111111"/>
          <w:szCs w:val="18"/>
        </w:rPr>
        <w:t xml:space="preserve">panelu je realizováno napětím 230V/50Hz z elektrické sítě. </w:t>
      </w:r>
    </w:p>
    <w:p w:rsidR="00DB12FA" w:rsidRDefault="00DB12FA" w:rsidP="00C24907">
      <w:pPr>
        <w:pStyle w:val="Zkladntext"/>
        <w:spacing w:after="0"/>
        <w:jc w:val="both"/>
        <w:rPr>
          <w:color w:val="111111"/>
          <w:szCs w:val="18"/>
        </w:rPr>
      </w:pPr>
    </w:p>
    <w:p w:rsidR="00D4124E" w:rsidRDefault="00CC2364" w:rsidP="00C24907">
      <w:pPr>
        <w:pStyle w:val="Zkladntext"/>
        <w:spacing w:after="0"/>
        <w:jc w:val="both"/>
        <w:rPr>
          <w:color w:val="111111"/>
          <w:szCs w:val="18"/>
        </w:rPr>
      </w:pPr>
      <w:r>
        <w:rPr>
          <w:rFonts w:asciiTheme="minorHAnsi" w:hAnsiTheme="minorHAnsi" w:cstheme="minorHAnsi"/>
          <w:noProof/>
          <w:color w:val="808080" w:themeColor="background1" w:themeShade="80"/>
          <w:sz w:val="28"/>
          <w:szCs w:val="28"/>
          <w:lang w:eastAsia="cs-CZ"/>
        </w:rPr>
        <w:drawing>
          <wp:inline distT="0" distB="0" distL="0" distR="0">
            <wp:extent cx="5676900" cy="3162300"/>
            <wp:effectExtent l="19050" t="0" r="0" b="0"/>
            <wp:docPr id="3" name="Obrázek 1" descr="UV-10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V-109a.jpg"/>
                    <pic:cNvPicPr/>
                  </pic:nvPicPr>
                  <pic:blipFill>
                    <a:blip r:embed="rId8" cstate="print"/>
                    <a:srcRect l="826" t="2035" r="661" b="1453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24E" w:rsidRDefault="00D4124E" w:rsidP="00C24907">
      <w:pPr>
        <w:pStyle w:val="Zkladntext"/>
        <w:spacing w:after="0"/>
        <w:ind w:left="720"/>
        <w:jc w:val="both"/>
      </w:pPr>
    </w:p>
    <w:p w:rsidR="00D4124E" w:rsidRDefault="00D4124E" w:rsidP="00C24907">
      <w:pPr>
        <w:pStyle w:val="Zkladntext"/>
        <w:spacing w:after="0"/>
        <w:ind w:left="720"/>
        <w:jc w:val="both"/>
      </w:pPr>
    </w:p>
    <w:tbl>
      <w:tblPr>
        <w:tblStyle w:val="Svtlseznamzvraznn11"/>
        <w:tblW w:w="0" w:type="auto"/>
        <w:tblBorders>
          <w:top w:val="single" w:sz="8" w:space="0" w:color="C6D9F1" w:themeColor="text2" w:themeTint="33"/>
          <w:left w:val="single" w:sz="8" w:space="0" w:color="C6D9F1" w:themeColor="text2" w:themeTint="33"/>
          <w:bottom w:val="single" w:sz="8" w:space="0" w:color="C6D9F1" w:themeColor="text2" w:themeTint="33"/>
          <w:right w:val="single" w:sz="8" w:space="0" w:color="C6D9F1" w:themeColor="text2" w:themeTint="33"/>
          <w:insideH w:val="single" w:sz="8" w:space="0" w:color="C6D9F1" w:themeColor="text2" w:themeTint="33"/>
          <w:insideV w:val="single" w:sz="8" w:space="0" w:color="C6D9F1" w:themeColor="text2" w:themeTint="33"/>
        </w:tblBorders>
        <w:shd w:val="clear" w:color="auto" w:fill="C6D9F1" w:themeFill="text2" w:themeFillTint="33"/>
        <w:tblLook w:val="04A0"/>
      </w:tblPr>
      <w:tblGrid>
        <w:gridCol w:w="9212"/>
      </w:tblGrid>
      <w:tr w:rsidR="00D4124E" w:rsidTr="00F441C1">
        <w:trPr>
          <w:cnfStyle w:val="100000000000"/>
        </w:trPr>
        <w:tc>
          <w:tcPr>
            <w:cnfStyle w:val="001000000000"/>
            <w:tcW w:w="9212" w:type="dxa"/>
            <w:shd w:val="clear" w:color="auto" w:fill="C6D9F1" w:themeFill="text2" w:themeFillTint="33"/>
          </w:tcPr>
          <w:p w:rsidR="00D4124E" w:rsidRPr="00D4124E" w:rsidRDefault="00D4124E" w:rsidP="00C24907">
            <w:pPr>
              <w:pStyle w:val="Zkladntext"/>
              <w:spacing w:after="0"/>
              <w:jc w:val="both"/>
              <w:rPr>
                <w:b w:val="0"/>
                <w:color w:val="111111"/>
                <w:sz w:val="20"/>
                <w:szCs w:val="20"/>
              </w:rPr>
            </w:pPr>
            <w:r w:rsidRPr="00D4124E">
              <w:rPr>
                <w:b w:val="0"/>
                <w:color w:val="111111"/>
                <w:sz w:val="20"/>
                <w:szCs w:val="20"/>
              </w:rPr>
              <w:t>Panel umožňuje například tato zapojení:</w:t>
            </w:r>
          </w:p>
        </w:tc>
      </w:tr>
    </w:tbl>
    <w:p w:rsidR="004B3470" w:rsidRDefault="004B3470" w:rsidP="00C24907">
      <w:pPr>
        <w:pStyle w:val="Zkladntext"/>
        <w:spacing w:after="0"/>
        <w:jc w:val="both"/>
        <w:rPr>
          <w:color w:val="111111"/>
          <w:szCs w:val="18"/>
        </w:rPr>
      </w:pPr>
    </w:p>
    <w:p w:rsidR="004B3470" w:rsidRPr="004B3470" w:rsidRDefault="004B3470" w:rsidP="00C24907">
      <w:pPr>
        <w:pStyle w:val="Zkladntext"/>
        <w:numPr>
          <w:ilvl w:val="0"/>
          <w:numId w:val="1"/>
        </w:numPr>
        <w:spacing w:after="0"/>
        <w:jc w:val="both"/>
      </w:pPr>
      <w:r>
        <w:rPr>
          <w:color w:val="111111"/>
          <w:szCs w:val="18"/>
        </w:rPr>
        <w:t xml:space="preserve">Zapojení </w:t>
      </w:r>
      <w:r w:rsidR="00CC2364">
        <w:rPr>
          <w:color w:val="111111"/>
          <w:szCs w:val="18"/>
        </w:rPr>
        <w:t>ovládání čtyř spotřebičů / zařízení simulovaných kontrolkami</w:t>
      </w:r>
    </w:p>
    <w:p w:rsidR="004B3470" w:rsidRPr="004B3470" w:rsidRDefault="004B3470" w:rsidP="00C24907">
      <w:pPr>
        <w:pStyle w:val="Zkladntext"/>
        <w:numPr>
          <w:ilvl w:val="0"/>
          <w:numId w:val="1"/>
        </w:numPr>
        <w:spacing w:after="0"/>
        <w:jc w:val="both"/>
      </w:pPr>
      <w:r>
        <w:rPr>
          <w:color w:val="111111"/>
          <w:szCs w:val="18"/>
        </w:rPr>
        <w:t xml:space="preserve">Zapojení </w:t>
      </w:r>
      <w:r w:rsidR="00CC2364">
        <w:rPr>
          <w:color w:val="111111"/>
          <w:szCs w:val="18"/>
        </w:rPr>
        <w:t xml:space="preserve">obvodů pomocí jednoduchého tlačítka </w:t>
      </w:r>
    </w:p>
    <w:p w:rsidR="004B3470" w:rsidRPr="004B3470" w:rsidRDefault="004B3470" w:rsidP="00C24907">
      <w:pPr>
        <w:pStyle w:val="Zkladntext"/>
        <w:numPr>
          <w:ilvl w:val="0"/>
          <w:numId w:val="1"/>
        </w:numPr>
        <w:spacing w:after="0"/>
        <w:jc w:val="both"/>
      </w:pPr>
      <w:r>
        <w:rPr>
          <w:color w:val="111111"/>
          <w:szCs w:val="18"/>
        </w:rPr>
        <w:t xml:space="preserve"> Zapojení </w:t>
      </w:r>
      <w:r w:rsidR="00CC2364">
        <w:rPr>
          <w:color w:val="111111"/>
          <w:szCs w:val="18"/>
        </w:rPr>
        <w:t>obvodů s využitím dotykového multifunkčního panelu</w:t>
      </w:r>
    </w:p>
    <w:p w:rsidR="00222F99" w:rsidRPr="006A4DC6" w:rsidRDefault="00222F99" w:rsidP="00C24907">
      <w:pPr>
        <w:pStyle w:val="Zkladntext"/>
        <w:numPr>
          <w:ilvl w:val="0"/>
          <w:numId w:val="1"/>
        </w:numPr>
        <w:spacing w:after="0"/>
        <w:jc w:val="both"/>
      </w:pPr>
      <w:r>
        <w:rPr>
          <w:color w:val="111111"/>
          <w:szCs w:val="18"/>
        </w:rPr>
        <w:t xml:space="preserve">Zapojení </w:t>
      </w:r>
      <w:r w:rsidR="006A4DC6">
        <w:rPr>
          <w:color w:val="111111"/>
          <w:szCs w:val="18"/>
        </w:rPr>
        <w:t>obvodů se stmívačem</w:t>
      </w:r>
    </w:p>
    <w:p w:rsidR="006A4DC6" w:rsidRPr="006A4DC6" w:rsidRDefault="006A4DC6" w:rsidP="00C24907">
      <w:pPr>
        <w:pStyle w:val="Zkladntext"/>
        <w:numPr>
          <w:ilvl w:val="0"/>
          <w:numId w:val="1"/>
        </w:numPr>
        <w:spacing w:after="0"/>
        <w:jc w:val="both"/>
      </w:pPr>
      <w:r>
        <w:rPr>
          <w:color w:val="111111"/>
          <w:szCs w:val="18"/>
        </w:rPr>
        <w:t>……..</w:t>
      </w:r>
    </w:p>
    <w:p w:rsidR="006A4DC6" w:rsidRPr="00222F99" w:rsidRDefault="006A4DC6" w:rsidP="00C24907">
      <w:pPr>
        <w:pStyle w:val="Zkladntext"/>
        <w:numPr>
          <w:ilvl w:val="0"/>
          <w:numId w:val="1"/>
        </w:numPr>
        <w:spacing w:after="0"/>
        <w:jc w:val="both"/>
      </w:pPr>
      <w:r>
        <w:rPr>
          <w:color w:val="111111"/>
          <w:szCs w:val="18"/>
        </w:rPr>
        <w:t>……..</w:t>
      </w:r>
    </w:p>
    <w:p w:rsidR="001A6FCA" w:rsidRDefault="001A6FCA">
      <w:pPr>
        <w:rPr>
          <w:rFonts w:ascii="Calibri" w:eastAsia="Times New Roman" w:hAnsi="Calibri" w:cs="Times New Roman"/>
        </w:rPr>
      </w:pPr>
      <w:r>
        <w:br w:type="page"/>
      </w:r>
    </w:p>
    <w:p w:rsidR="009176F5" w:rsidRDefault="009176F5" w:rsidP="00C24907">
      <w:pPr>
        <w:pStyle w:val="Zkladntext"/>
        <w:spacing w:after="0"/>
        <w:jc w:val="both"/>
      </w:pPr>
    </w:p>
    <w:tbl>
      <w:tblPr>
        <w:tblStyle w:val="Svtlseznamzvraznn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606"/>
        <w:gridCol w:w="4606"/>
      </w:tblGrid>
      <w:tr w:rsidR="004C646E" w:rsidTr="00DB12FA">
        <w:trPr>
          <w:cnfStyle w:val="100000000000"/>
        </w:trPr>
        <w:tc>
          <w:tcPr>
            <w:cnfStyle w:val="001000000000"/>
            <w:tcW w:w="4606" w:type="dxa"/>
            <w:shd w:val="clear" w:color="auto" w:fill="C6D9F1" w:themeFill="text2" w:themeFillTint="33"/>
          </w:tcPr>
          <w:p w:rsidR="004C646E" w:rsidRDefault="00DB12FA" w:rsidP="00C24907">
            <w:pPr>
              <w:jc w:val="both"/>
            </w:pPr>
            <w:r>
              <w:rPr>
                <w:b w:val="0"/>
                <w:color w:val="404040" w:themeColor="text1" w:themeTint="BF"/>
                <w:sz w:val="20"/>
                <w:szCs w:val="20"/>
              </w:rPr>
              <w:t>Seznam použitých přístrojů</w:t>
            </w:r>
          </w:p>
        </w:tc>
        <w:tc>
          <w:tcPr>
            <w:tcW w:w="4606" w:type="dxa"/>
            <w:shd w:val="clear" w:color="auto" w:fill="C6D9F1" w:themeFill="text2" w:themeFillTint="33"/>
          </w:tcPr>
          <w:p w:rsidR="004C646E" w:rsidRDefault="004C646E" w:rsidP="00C24907">
            <w:pPr>
              <w:jc w:val="both"/>
              <w:cnfStyle w:val="100000000000"/>
            </w:pPr>
          </w:p>
        </w:tc>
      </w:tr>
      <w:tr w:rsidR="00DB12FA" w:rsidRPr="00DB12FA" w:rsidTr="00494340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</w:tblBorders>
        </w:tblPrEx>
        <w:trPr>
          <w:cnfStyle w:val="000000100000"/>
          <w:trHeight w:val="282"/>
        </w:trPr>
        <w:tc>
          <w:tcPr>
            <w:cnfStyle w:val="001000000000"/>
            <w:tcW w:w="4606" w:type="dxa"/>
            <w:noWrap/>
            <w:vAlign w:val="bottom"/>
            <w:hideMark/>
          </w:tcPr>
          <w:p w:rsidR="00DB12FA" w:rsidRPr="00720AEC" w:rsidRDefault="00720AEC" w:rsidP="006A4DC6">
            <w:pPr>
              <w:rPr>
                <w:rFonts w:ascii="Calibri" w:hAnsi="Calibri"/>
                <w:b w:val="0"/>
                <w:color w:val="000000"/>
              </w:rPr>
            </w:pPr>
            <w:r w:rsidRPr="00720AEC">
              <w:rPr>
                <w:rFonts w:ascii="Calibri" w:hAnsi="Calibri"/>
                <w:b w:val="0"/>
                <w:color w:val="000000"/>
              </w:rPr>
              <w:t>PS3-100/</w:t>
            </w:r>
            <w:proofErr w:type="spellStart"/>
            <w:r w:rsidRPr="00720AEC">
              <w:rPr>
                <w:rFonts w:ascii="Calibri" w:hAnsi="Calibri"/>
                <w:b w:val="0"/>
                <w:color w:val="000000"/>
              </w:rPr>
              <w:t>iNELS</w:t>
            </w:r>
            <w:proofErr w:type="spellEnd"/>
          </w:p>
        </w:tc>
        <w:tc>
          <w:tcPr>
            <w:tcW w:w="4606" w:type="dxa"/>
            <w:noWrap/>
            <w:vAlign w:val="bottom"/>
            <w:hideMark/>
          </w:tcPr>
          <w:p w:rsidR="00DB12FA" w:rsidRPr="00720AEC" w:rsidRDefault="00720AEC" w:rsidP="006A4DC6">
            <w:pPr>
              <w:cnfStyle w:val="000000100000"/>
              <w:rPr>
                <w:rFonts w:ascii="Calibri" w:hAnsi="Calibri"/>
                <w:color w:val="000000"/>
              </w:rPr>
            </w:pPr>
            <w:r w:rsidRPr="00720AEC">
              <w:rPr>
                <w:rFonts w:ascii="Calibri" w:hAnsi="Calibri"/>
                <w:color w:val="000000"/>
              </w:rPr>
              <w:t xml:space="preserve">Napájecí zdroj 100W, IN AC 100 - 250 V AC, OUT: 27.6 V/3.6 A </w:t>
            </w:r>
            <w:proofErr w:type="spellStart"/>
            <w:r w:rsidRPr="00720AEC">
              <w:rPr>
                <w:rFonts w:ascii="Calibri" w:hAnsi="Calibri"/>
                <w:color w:val="000000"/>
              </w:rPr>
              <w:t>a</w:t>
            </w:r>
            <w:proofErr w:type="spellEnd"/>
            <w:r w:rsidRPr="00720AEC">
              <w:rPr>
                <w:rFonts w:ascii="Calibri" w:hAnsi="Calibri"/>
                <w:color w:val="000000"/>
              </w:rPr>
              <w:t xml:space="preserve"> 12.2 V/0.35 A, 6M</w:t>
            </w:r>
          </w:p>
        </w:tc>
      </w:tr>
      <w:tr w:rsidR="00DB12FA" w:rsidRPr="00DB12FA" w:rsidTr="00494340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</w:tblBorders>
        </w:tblPrEx>
        <w:trPr>
          <w:trHeight w:val="282"/>
        </w:trPr>
        <w:tc>
          <w:tcPr>
            <w:cnfStyle w:val="001000000000"/>
            <w:tcW w:w="4606" w:type="dxa"/>
            <w:noWrap/>
            <w:vAlign w:val="bottom"/>
            <w:hideMark/>
          </w:tcPr>
          <w:p w:rsidR="00DB12FA" w:rsidRPr="00720AEC" w:rsidRDefault="00720AEC" w:rsidP="006A4DC6">
            <w:pPr>
              <w:rPr>
                <w:rFonts w:ascii="Calibri" w:hAnsi="Calibri"/>
                <w:b w:val="0"/>
                <w:color w:val="000000"/>
              </w:rPr>
            </w:pPr>
            <w:r w:rsidRPr="00720AEC">
              <w:rPr>
                <w:rFonts w:ascii="Calibri" w:hAnsi="Calibri"/>
                <w:b w:val="0"/>
                <w:color w:val="000000"/>
              </w:rPr>
              <w:t>CU3-02M</w:t>
            </w:r>
          </w:p>
        </w:tc>
        <w:tc>
          <w:tcPr>
            <w:tcW w:w="4606" w:type="dxa"/>
            <w:noWrap/>
            <w:vAlign w:val="bottom"/>
            <w:hideMark/>
          </w:tcPr>
          <w:p w:rsidR="00DB12FA" w:rsidRPr="00720AEC" w:rsidRDefault="00720AEC" w:rsidP="006A4DC6">
            <w:pPr>
              <w:pStyle w:val="Nadpis2"/>
              <w:shd w:val="clear" w:color="auto" w:fill="FFFFFF"/>
              <w:spacing w:before="165" w:after="165"/>
              <w:outlineLvl w:val="1"/>
              <w:cnfStyle w:val="000000000000"/>
              <w:rPr>
                <w:rFonts w:ascii="Calibri" w:eastAsiaTheme="minorHAnsi" w:hAnsi="Calibri" w:cstheme="minorBidi"/>
                <w:b w:val="0"/>
                <w:color w:val="000000"/>
                <w:sz w:val="22"/>
                <w:szCs w:val="22"/>
                <w:u w:val="none"/>
                <w:lang w:eastAsia="en-US"/>
              </w:rPr>
            </w:pPr>
            <w:r w:rsidRPr="00720AEC">
              <w:rPr>
                <w:rFonts w:ascii="Calibri" w:eastAsiaTheme="minorHAnsi" w:hAnsi="Calibri" w:cstheme="minorBidi"/>
                <w:b w:val="0"/>
                <w:color w:val="000000"/>
                <w:sz w:val="22"/>
                <w:szCs w:val="22"/>
                <w:u w:val="none"/>
                <w:lang w:eastAsia="en-US"/>
              </w:rPr>
              <w:t xml:space="preserve">Centrální jednotka, 2x sběrnice CIB, rozhraní RF </w:t>
            </w:r>
            <w:proofErr w:type="spellStart"/>
            <w:r w:rsidRPr="00720AEC">
              <w:rPr>
                <w:rFonts w:ascii="Calibri" w:eastAsiaTheme="minorHAnsi" w:hAnsi="Calibri" w:cstheme="minorBidi"/>
                <w:b w:val="0"/>
                <w:color w:val="000000"/>
                <w:sz w:val="22"/>
                <w:szCs w:val="22"/>
                <w:u w:val="none"/>
                <w:lang w:eastAsia="en-US"/>
              </w:rPr>
              <w:t>Control</w:t>
            </w:r>
            <w:proofErr w:type="spellEnd"/>
            <w:r w:rsidRPr="00720AEC">
              <w:rPr>
                <w:rFonts w:ascii="Calibri" w:eastAsiaTheme="minorHAnsi" w:hAnsi="Calibri" w:cstheme="minorBidi"/>
                <w:b w:val="0"/>
                <w:color w:val="000000"/>
                <w:sz w:val="22"/>
                <w:szCs w:val="22"/>
                <w:u w:val="none"/>
                <w:lang w:eastAsia="en-US"/>
              </w:rPr>
              <w:t>, 1x sběrnice EBM, 6M</w:t>
            </w:r>
          </w:p>
        </w:tc>
      </w:tr>
      <w:tr w:rsidR="00DB12FA" w:rsidRPr="00DB12FA" w:rsidTr="00494340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</w:tblBorders>
        </w:tblPrEx>
        <w:trPr>
          <w:cnfStyle w:val="000000100000"/>
          <w:trHeight w:val="282"/>
        </w:trPr>
        <w:tc>
          <w:tcPr>
            <w:cnfStyle w:val="001000000000"/>
            <w:tcW w:w="4606" w:type="dxa"/>
            <w:noWrap/>
            <w:vAlign w:val="bottom"/>
            <w:hideMark/>
          </w:tcPr>
          <w:p w:rsidR="00DB12FA" w:rsidRPr="00720AEC" w:rsidRDefault="00720AEC" w:rsidP="006A4DC6">
            <w:pPr>
              <w:rPr>
                <w:rFonts w:ascii="Calibri" w:hAnsi="Calibri"/>
                <w:b w:val="0"/>
                <w:color w:val="000000"/>
              </w:rPr>
            </w:pPr>
            <w:r w:rsidRPr="00720AEC">
              <w:rPr>
                <w:rFonts w:ascii="Calibri" w:hAnsi="Calibri"/>
                <w:b w:val="0"/>
                <w:color w:val="000000"/>
              </w:rPr>
              <w:t>IM3-80B</w:t>
            </w:r>
          </w:p>
        </w:tc>
        <w:tc>
          <w:tcPr>
            <w:tcW w:w="4606" w:type="dxa"/>
            <w:noWrap/>
            <w:vAlign w:val="bottom"/>
            <w:hideMark/>
          </w:tcPr>
          <w:p w:rsidR="00DB12FA" w:rsidRPr="00720AEC" w:rsidRDefault="00720AEC" w:rsidP="006A4DC6">
            <w:pPr>
              <w:pStyle w:val="Nadpis1"/>
              <w:shd w:val="clear" w:color="auto" w:fill="FFFFFF"/>
              <w:spacing w:before="0" w:after="165"/>
              <w:outlineLvl w:val="0"/>
              <w:cnfStyle w:val="000000100000"/>
              <w:rPr>
                <w:rFonts w:ascii="Calibri" w:hAnsi="Calibri"/>
                <w:b w:val="0"/>
                <w:bCs w:val="0"/>
                <w:color w:val="000000"/>
              </w:rPr>
            </w:pPr>
            <w:r w:rsidRPr="00720AEC">
              <w:rPr>
                <w:rFonts w:ascii="Calibri" w:eastAsiaTheme="minorHAnsi" w:hAnsi="Calibri" w:cstheme="minorBidi"/>
                <w:b w:val="0"/>
                <w:color w:val="000000"/>
                <w:sz w:val="22"/>
                <w:szCs w:val="22"/>
              </w:rPr>
              <w:t xml:space="preserve">Jednotka binárních vstupů, 8x binární vstup, výstup 12 V DC/75 </w:t>
            </w:r>
            <w:proofErr w:type="spellStart"/>
            <w:r w:rsidRPr="00720AEC">
              <w:rPr>
                <w:rFonts w:ascii="Calibri" w:eastAsiaTheme="minorHAnsi" w:hAnsi="Calibri" w:cstheme="minorBidi"/>
                <w:b w:val="0"/>
                <w:color w:val="000000"/>
                <w:sz w:val="22"/>
                <w:szCs w:val="22"/>
              </w:rPr>
              <w:t>mA</w:t>
            </w:r>
            <w:proofErr w:type="spellEnd"/>
            <w:r w:rsidRPr="00720AEC">
              <w:rPr>
                <w:rFonts w:ascii="Calibri" w:eastAsiaTheme="minorHAnsi" w:hAnsi="Calibri" w:cstheme="minorBidi"/>
                <w:b w:val="0"/>
                <w:color w:val="000000"/>
                <w:sz w:val="22"/>
                <w:szCs w:val="22"/>
              </w:rPr>
              <w:t>, box</w:t>
            </w:r>
          </w:p>
        </w:tc>
      </w:tr>
      <w:tr w:rsidR="00DB12FA" w:rsidRPr="00DB12FA" w:rsidTr="00494340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</w:tblBorders>
        </w:tblPrEx>
        <w:trPr>
          <w:trHeight w:val="282"/>
        </w:trPr>
        <w:tc>
          <w:tcPr>
            <w:cnfStyle w:val="001000000000"/>
            <w:tcW w:w="4606" w:type="dxa"/>
            <w:noWrap/>
            <w:vAlign w:val="bottom"/>
            <w:hideMark/>
          </w:tcPr>
          <w:p w:rsidR="00DB12FA" w:rsidRPr="00720AEC" w:rsidRDefault="00720AEC" w:rsidP="006A4DC6">
            <w:pPr>
              <w:rPr>
                <w:rFonts w:ascii="Calibri" w:hAnsi="Calibri"/>
                <w:b w:val="0"/>
                <w:color w:val="000000"/>
              </w:rPr>
            </w:pPr>
            <w:r w:rsidRPr="00720AEC">
              <w:rPr>
                <w:rFonts w:ascii="Calibri" w:hAnsi="Calibri"/>
                <w:b w:val="0"/>
                <w:color w:val="000000"/>
              </w:rPr>
              <w:t>BPS3-02M</w:t>
            </w:r>
          </w:p>
        </w:tc>
        <w:tc>
          <w:tcPr>
            <w:tcW w:w="4606" w:type="dxa"/>
            <w:noWrap/>
            <w:vAlign w:val="center"/>
            <w:hideMark/>
          </w:tcPr>
          <w:p w:rsidR="00DB12FA" w:rsidRPr="00720AEC" w:rsidRDefault="00720AEC" w:rsidP="006A4DC6">
            <w:pPr>
              <w:cnfStyle w:val="000000000000"/>
              <w:rPr>
                <w:rFonts w:ascii="Calibri" w:hAnsi="Calibri"/>
                <w:color w:val="000000"/>
              </w:rPr>
            </w:pPr>
            <w:r w:rsidRPr="00720AEC">
              <w:rPr>
                <w:rFonts w:ascii="Calibri" w:hAnsi="Calibri"/>
                <w:color w:val="000000"/>
              </w:rPr>
              <w:t>Oddělovač sběrnice od napájecího zdroje, pro dvě větve CIB, 1M</w:t>
            </w:r>
          </w:p>
        </w:tc>
      </w:tr>
      <w:tr w:rsidR="00DB12FA" w:rsidRPr="00DB12FA" w:rsidTr="00494340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</w:tblBorders>
        </w:tblPrEx>
        <w:trPr>
          <w:cnfStyle w:val="000000100000"/>
          <w:trHeight w:val="270"/>
        </w:trPr>
        <w:tc>
          <w:tcPr>
            <w:cnfStyle w:val="001000000000"/>
            <w:tcW w:w="4606" w:type="dxa"/>
            <w:noWrap/>
            <w:vAlign w:val="bottom"/>
            <w:hideMark/>
          </w:tcPr>
          <w:p w:rsidR="00DB12FA" w:rsidRPr="00720AEC" w:rsidRDefault="00720AEC" w:rsidP="006A4DC6">
            <w:pPr>
              <w:rPr>
                <w:rFonts w:ascii="Calibri" w:hAnsi="Calibri"/>
                <w:b w:val="0"/>
                <w:color w:val="000000"/>
              </w:rPr>
            </w:pPr>
            <w:r w:rsidRPr="00720AEC">
              <w:rPr>
                <w:rFonts w:ascii="Calibri" w:hAnsi="Calibri"/>
                <w:b w:val="0"/>
                <w:color w:val="000000"/>
              </w:rPr>
              <w:t>SA3-02M</w:t>
            </w:r>
          </w:p>
        </w:tc>
        <w:tc>
          <w:tcPr>
            <w:tcW w:w="4606" w:type="dxa"/>
            <w:noWrap/>
            <w:vAlign w:val="center"/>
            <w:hideMark/>
          </w:tcPr>
          <w:p w:rsidR="00DB12FA" w:rsidRPr="00720AEC" w:rsidRDefault="00720AEC" w:rsidP="006A4DC6">
            <w:pPr>
              <w:cnfStyle w:val="000000100000"/>
              <w:rPr>
                <w:rFonts w:ascii="Calibri" w:hAnsi="Calibri"/>
                <w:color w:val="000000"/>
              </w:rPr>
            </w:pPr>
            <w:r w:rsidRPr="00720AEC">
              <w:rPr>
                <w:rFonts w:ascii="Calibri" w:hAnsi="Calibri"/>
                <w:color w:val="000000"/>
              </w:rPr>
              <w:t xml:space="preserve">Spínací dvoukanálový </w:t>
            </w:r>
            <w:proofErr w:type="spellStart"/>
            <w:r w:rsidRPr="00720AEC">
              <w:rPr>
                <w:rFonts w:ascii="Calibri" w:hAnsi="Calibri"/>
                <w:color w:val="000000"/>
              </w:rPr>
              <w:t>aktor</w:t>
            </w:r>
            <w:proofErr w:type="spellEnd"/>
            <w:r w:rsidRPr="00720AEC">
              <w:rPr>
                <w:rFonts w:ascii="Calibri" w:hAnsi="Calibri"/>
                <w:color w:val="000000"/>
              </w:rPr>
              <w:t>, 2x přepínací kontakt 16 A, 1M</w:t>
            </w:r>
          </w:p>
        </w:tc>
      </w:tr>
      <w:tr w:rsidR="00DB12FA" w:rsidRPr="00DB12FA" w:rsidTr="00494340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</w:tblBorders>
        </w:tblPrEx>
        <w:trPr>
          <w:trHeight w:val="282"/>
        </w:trPr>
        <w:tc>
          <w:tcPr>
            <w:cnfStyle w:val="001000000000"/>
            <w:tcW w:w="4606" w:type="dxa"/>
            <w:noWrap/>
            <w:vAlign w:val="bottom"/>
            <w:hideMark/>
          </w:tcPr>
          <w:p w:rsidR="00DB12FA" w:rsidRPr="00720AEC" w:rsidRDefault="00720AEC" w:rsidP="006A4DC6">
            <w:pPr>
              <w:rPr>
                <w:rFonts w:ascii="Calibri" w:hAnsi="Calibri"/>
                <w:b w:val="0"/>
                <w:color w:val="000000"/>
              </w:rPr>
            </w:pPr>
            <w:r w:rsidRPr="00720AEC">
              <w:rPr>
                <w:rFonts w:ascii="Calibri" w:hAnsi="Calibri"/>
                <w:b w:val="0"/>
                <w:color w:val="000000"/>
              </w:rPr>
              <w:t>DA3-22M</w:t>
            </w:r>
          </w:p>
        </w:tc>
        <w:tc>
          <w:tcPr>
            <w:tcW w:w="4606" w:type="dxa"/>
            <w:noWrap/>
            <w:vAlign w:val="center"/>
            <w:hideMark/>
          </w:tcPr>
          <w:p w:rsidR="00DB12FA" w:rsidRPr="00720AEC" w:rsidRDefault="00720AEC" w:rsidP="006A4DC6">
            <w:pPr>
              <w:pStyle w:val="Nadpis1"/>
              <w:shd w:val="clear" w:color="auto" w:fill="FFFFFF"/>
              <w:spacing w:before="0" w:after="165"/>
              <w:outlineLvl w:val="0"/>
              <w:cnfStyle w:val="000000000000"/>
              <w:rPr>
                <w:rFonts w:ascii="Calibri" w:hAnsi="Calibri"/>
                <w:b w:val="0"/>
                <w:color w:val="000000"/>
              </w:rPr>
            </w:pPr>
            <w:r w:rsidRPr="00720AEC">
              <w:rPr>
                <w:rFonts w:ascii="Calibri" w:eastAsiaTheme="minorHAnsi" w:hAnsi="Calibri" w:cstheme="minorBidi"/>
                <w:b w:val="0"/>
                <w:bCs w:val="0"/>
                <w:color w:val="000000"/>
                <w:sz w:val="22"/>
                <w:szCs w:val="22"/>
              </w:rPr>
              <w:t xml:space="preserve">Univerzální </w:t>
            </w:r>
            <w:proofErr w:type="spellStart"/>
            <w:r w:rsidRPr="00720AEC">
              <w:rPr>
                <w:rFonts w:ascii="Calibri" w:eastAsiaTheme="minorHAnsi" w:hAnsi="Calibri" w:cstheme="minorBidi"/>
                <w:b w:val="0"/>
                <w:bCs w:val="0"/>
                <w:color w:val="000000"/>
                <w:sz w:val="22"/>
                <w:szCs w:val="22"/>
              </w:rPr>
              <w:t>stmívací</w:t>
            </w:r>
            <w:proofErr w:type="spellEnd"/>
            <w:r w:rsidRPr="00720AEC">
              <w:rPr>
                <w:rFonts w:ascii="Calibri" w:eastAsiaTheme="minorHAnsi" w:hAnsi="Calibri" w:cstheme="minorBidi"/>
                <w:b w:val="0"/>
                <w:bCs w:val="0"/>
                <w:color w:val="000000"/>
                <w:sz w:val="22"/>
                <w:szCs w:val="22"/>
              </w:rPr>
              <w:t xml:space="preserve"> dvoukanálový </w:t>
            </w:r>
            <w:proofErr w:type="spellStart"/>
            <w:r w:rsidRPr="00720AEC">
              <w:rPr>
                <w:rFonts w:ascii="Calibri" w:eastAsiaTheme="minorHAnsi" w:hAnsi="Calibri" w:cstheme="minorBidi"/>
                <w:b w:val="0"/>
                <w:bCs w:val="0"/>
                <w:color w:val="000000"/>
                <w:sz w:val="22"/>
                <w:szCs w:val="22"/>
              </w:rPr>
              <w:t>aktor</w:t>
            </w:r>
            <w:proofErr w:type="spellEnd"/>
            <w:r w:rsidRPr="00720AEC">
              <w:rPr>
                <w:rFonts w:ascii="Calibri" w:eastAsiaTheme="minorHAnsi" w:hAnsi="Calibri" w:cstheme="minorBidi"/>
                <w:b w:val="0"/>
                <w:bCs w:val="0"/>
                <w:color w:val="000000"/>
                <w:sz w:val="22"/>
                <w:szCs w:val="22"/>
              </w:rPr>
              <w:t>, ESL/LED /RLC, 2x 400 VA, 3M</w:t>
            </w:r>
          </w:p>
        </w:tc>
      </w:tr>
      <w:tr w:rsidR="00DB12FA" w:rsidRPr="00DB12FA" w:rsidTr="00494340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</w:tblBorders>
        </w:tblPrEx>
        <w:trPr>
          <w:cnfStyle w:val="000000100000"/>
          <w:trHeight w:val="282"/>
        </w:trPr>
        <w:tc>
          <w:tcPr>
            <w:cnfStyle w:val="001000000000"/>
            <w:tcW w:w="4606" w:type="dxa"/>
            <w:noWrap/>
            <w:vAlign w:val="bottom"/>
            <w:hideMark/>
          </w:tcPr>
          <w:p w:rsidR="00DB12FA" w:rsidRPr="00720AEC" w:rsidRDefault="00720AEC" w:rsidP="006A4DC6">
            <w:pPr>
              <w:rPr>
                <w:rFonts w:ascii="Calibri" w:hAnsi="Calibri"/>
                <w:b w:val="0"/>
                <w:color w:val="000000"/>
              </w:rPr>
            </w:pPr>
            <w:r w:rsidRPr="00720AEC">
              <w:rPr>
                <w:rFonts w:ascii="Calibri" w:hAnsi="Calibri"/>
                <w:b w:val="0"/>
                <w:color w:val="000000"/>
              </w:rPr>
              <w:t>SA3-02B</w:t>
            </w:r>
          </w:p>
        </w:tc>
        <w:tc>
          <w:tcPr>
            <w:tcW w:w="4606" w:type="dxa"/>
            <w:noWrap/>
            <w:vAlign w:val="bottom"/>
            <w:hideMark/>
          </w:tcPr>
          <w:p w:rsidR="00DB12FA" w:rsidRPr="00720AEC" w:rsidRDefault="00720AEC" w:rsidP="006A4DC6">
            <w:pPr>
              <w:cnfStyle w:val="000000100000"/>
              <w:rPr>
                <w:rFonts w:ascii="Calibri" w:hAnsi="Calibri"/>
                <w:color w:val="000000"/>
              </w:rPr>
            </w:pPr>
            <w:r w:rsidRPr="00720AEC">
              <w:rPr>
                <w:rFonts w:ascii="Calibri" w:hAnsi="Calibri"/>
                <w:color w:val="000000"/>
              </w:rPr>
              <w:t xml:space="preserve">Spínací dvoukanálový </w:t>
            </w:r>
            <w:proofErr w:type="spellStart"/>
            <w:r w:rsidRPr="00720AEC">
              <w:rPr>
                <w:rFonts w:ascii="Calibri" w:hAnsi="Calibri"/>
                <w:color w:val="000000"/>
              </w:rPr>
              <w:t>aktor</w:t>
            </w:r>
            <w:proofErr w:type="spellEnd"/>
            <w:r w:rsidRPr="00720AEC">
              <w:rPr>
                <w:rFonts w:ascii="Calibri" w:hAnsi="Calibri"/>
                <w:color w:val="000000"/>
              </w:rPr>
              <w:t>, 2x přepínací kontakt 8 A, box</w:t>
            </w:r>
          </w:p>
        </w:tc>
      </w:tr>
      <w:tr w:rsidR="00DB12FA" w:rsidRPr="00DB12FA" w:rsidTr="00494340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</w:tblBorders>
        </w:tblPrEx>
        <w:trPr>
          <w:trHeight w:val="282"/>
        </w:trPr>
        <w:tc>
          <w:tcPr>
            <w:cnfStyle w:val="001000000000"/>
            <w:tcW w:w="4606" w:type="dxa"/>
            <w:noWrap/>
            <w:vAlign w:val="bottom"/>
            <w:hideMark/>
          </w:tcPr>
          <w:p w:rsidR="00DB12FA" w:rsidRPr="00720AEC" w:rsidRDefault="00720AEC" w:rsidP="006A4DC6">
            <w:pPr>
              <w:rPr>
                <w:rFonts w:ascii="Calibri" w:hAnsi="Calibri"/>
                <w:b w:val="0"/>
                <w:color w:val="000000"/>
              </w:rPr>
            </w:pPr>
            <w:r w:rsidRPr="00720AEC">
              <w:rPr>
                <w:rFonts w:ascii="Calibri" w:hAnsi="Calibri"/>
                <w:b w:val="0"/>
                <w:color w:val="000000"/>
              </w:rPr>
              <w:t xml:space="preserve">Dotykový panel </w:t>
            </w:r>
            <w:r w:rsidR="006A4DC6">
              <w:rPr>
                <w:rFonts w:ascii="Calibri" w:hAnsi="Calibri"/>
                <w:b w:val="0"/>
                <w:color w:val="000000"/>
              </w:rPr>
              <w:t>6 tlačítek</w:t>
            </w:r>
          </w:p>
        </w:tc>
        <w:tc>
          <w:tcPr>
            <w:tcW w:w="4606" w:type="dxa"/>
            <w:noWrap/>
            <w:vAlign w:val="center"/>
            <w:hideMark/>
          </w:tcPr>
          <w:p w:rsidR="00DB12FA" w:rsidRPr="00DB12FA" w:rsidRDefault="006A4DC6" w:rsidP="006A4DC6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ks</w:t>
            </w:r>
          </w:p>
        </w:tc>
      </w:tr>
      <w:tr w:rsidR="006A4DC6" w:rsidRPr="00DB12FA" w:rsidTr="00494340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</w:tblBorders>
        </w:tblPrEx>
        <w:trPr>
          <w:cnfStyle w:val="000000100000"/>
          <w:trHeight w:val="282"/>
        </w:trPr>
        <w:tc>
          <w:tcPr>
            <w:cnfStyle w:val="001000000000"/>
            <w:tcW w:w="4606" w:type="dxa"/>
            <w:noWrap/>
            <w:vAlign w:val="bottom"/>
            <w:hideMark/>
          </w:tcPr>
          <w:p w:rsidR="006A4DC6" w:rsidRPr="00720AEC" w:rsidRDefault="006A4DC6" w:rsidP="006A4DC6">
            <w:pPr>
              <w:rPr>
                <w:rFonts w:ascii="Calibri" w:hAnsi="Calibri"/>
                <w:b w:val="0"/>
                <w:color w:val="000000"/>
              </w:rPr>
            </w:pPr>
            <w:r>
              <w:rPr>
                <w:rFonts w:ascii="Calibri" w:hAnsi="Calibri"/>
                <w:b w:val="0"/>
                <w:color w:val="000000"/>
              </w:rPr>
              <w:t>Tlačítko nástěnné</w:t>
            </w:r>
          </w:p>
        </w:tc>
        <w:tc>
          <w:tcPr>
            <w:tcW w:w="4606" w:type="dxa"/>
            <w:noWrap/>
            <w:vAlign w:val="center"/>
            <w:hideMark/>
          </w:tcPr>
          <w:p w:rsidR="006A4DC6" w:rsidRDefault="006A4DC6" w:rsidP="006A4DC6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ks</w:t>
            </w:r>
          </w:p>
        </w:tc>
      </w:tr>
      <w:tr w:rsidR="00720AEC" w:rsidRPr="00DB12FA" w:rsidTr="00494340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</w:tblBorders>
        </w:tblPrEx>
        <w:trPr>
          <w:trHeight w:val="282"/>
        </w:trPr>
        <w:tc>
          <w:tcPr>
            <w:cnfStyle w:val="001000000000"/>
            <w:tcW w:w="4606" w:type="dxa"/>
            <w:noWrap/>
            <w:vAlign w:val="bottom"/>
            <w:hideMark/>
          </w:tcPr>
          <w:p w:rsidR="00720AEC" w:rsidRPr="00720AEC" w:rsidRDefault="00720AEC" w:rsidP="006A4DC6">
            <w:pPr>
              <w:rPr>
                <w:rFonts w:ascii="Calibri" w:hAnsi="Calibri"/>
                <w:b w:val="0"/>
                <w:color w:val="000000"/>
              </w:rPr>
            </w:pPr>
            <w:r w:rsidRPr="00720AEC">
              <w:rPr>
                <w:rFonts w:ascii="Calibri" w:hAnsi="Calibri"/>
                <w:b w:val="0"/>
                <w:color w:val="000000"/>
              </w:rPr>
              <w:t>Kontrolka simulovaného spotřebiče</w:t>
            </w:r>
          </w:p>
        </w:tc>
        <w:tc>
          <w:tcPr>
            <w:tcW w:w="4606" w:type="dxa"/>
            <w:noWrap/>
            <w:vAlign w:val="center"/>
            <w:hideMark/>
          </w:tcPr>
          <w:p w:rsidR="00720AEC" w:rsidRDefault="00720AEC" w:rsidP="006A4DC6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6A4DC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ks</w:t>
            </w:r>
          </w:p>
        </w:tc>
      </w:tr>
    </w:tbl>
    <w:p w:rsidR="00537853" w:rsidRPr="00537853" w:rsidRDefault="00537853" w:rsidP="00C24907">
      <w:pPr>
        <w:jc w:val="both"/>
      </w:pPr>
    </w:p>
    <w:sectPr w:rsidR="00537853" w:rsidRPr="00537853" w:rsidSect="00EE667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496" w:rsidRDefault="005F1496" w:rsidP="00BF74B6">
      <w:pPr>
        <w:spacing w:after="0" w:line="240" w:lineRule="auto"/>
      </w:pPr>
      <w:r>
        <w:separator/>
      </w:r>
    </w:p>
  </w:endnote>
  <w:endnote w:type="continuationSeparator" w:id="0">
    <w:p w:rsidR="005F1496" w:rsidRDefault="005F1496" w:rsidP="00BF7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odern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A80" w:rsidRDefault="005745A5" w:rsidP="00DA3A80">
    <w:pPr>
      <w:tabs>
        <w:tab w:val="left" w:pos="567"/>
        <w:tab w:val="left" w:pos="2268"/>
        <w:tab w:val="left" w:pos="3402"/>
        <w:tab w:val="left" w:pos="4394"/>
        <w:tab w:val="left" w:pos="6096"/>
        <w:tab w:val="left" w:pos="6946"/>
      </w:tabs>
      <w:spacing w:after="0"/>
      <w:jc w:val="center"/>
      <w:rPr>
        <w:rFonts w:ascii="Arial" w:hAnsi="Arial"/>
        <w:b/>
        <w:i/>
        <w:sz w:val="16"/>
      </w:rPr>
    </w:pPr>
    <w:r w:rsidRPr="005745A5">
      <w:rPr>
        <w:rFonts w:ascii="Arial" w:hAnsi="Arial"/>
        <w:b/>
        <w:i/>
        <w:sz w:val="16"/>
      </w:rPr>
      <w:pict>
        <v:rect id="_x0000_i1026" style="width:547.5pt;height:1.5pt" o:hralign="center" o:hrstd="t" o:hr="t" fillcolor="#a0a0a0" stroked="f"/>
      </w:pict>
    </w:r>
  </w:p>
  <w:p w:rsidR="00DA3A80" w:rsidRDefault="00DA3A80" w:rsidP="00DA3A80">
    <w:pPr>
      <w:tabs>
        <w:tab w:val="left" w:pos="567"/>
        <w:tab w:val="left" w:pos="2268"/>
        <w:tab w:val="left" w:pos="3402"/>
        <w:tab w:val="left" w:pos="4394"/>
        <w:tab w:val="left" w:pos="6096"/>
        <w:tab w:val="left" w:pos="6946"/>
      </w:tabs>
      <w:spacing w:after="0"/>
      <w:rPr>
        <w:rFonts w:ascii="Arial" w:hAnsi="Arial"/>
        <w:i/>
        <w:color w:val="595959" w:themeColor="text1" w:themeTint="A6"/>
        <w:sz w:val="16"/>
      </w:rPr>
    </w:pPr>
    <w:r>
      <w:rPr>
        <w:rFonts w:ascii="Arial" w:hAnsi="Arial"/>
        <w:b/>
        <w:i/>
        <w:color w:val="595959" w:themeColor="text1" w:themeTint="A6"/>
        <w:sz w:val="16"/>
      </w:rPr>
      <w:t>Diametral a.s.</w:t>
    </w:r>
    <w:r>
      <w:rPr>
        <w:rFonts w:ascii="Arial" w:hAnsi="Arial"/>
        <w:i/>
        <w:color w:val="595959" w:themeColor="text1" w:themeTint="A6"/>
        <w:sz w:val="16"/>
      </w:rPr>
      <w:tab/>
    </w:r>
    <w:r>
      <w:rPr>
        <w:rFonts w:ascii="Arial" w:hAnsi="Arial"/>
        <w:i/>
        <w:color w:val="595959" w:themeColor="text1" w:themeTint="A6"/>
        <w:sz w:val="16"/>
      </w:rPr>
      <w:tab/>
    </w:r>
    <w:r>
      <w:rPr>
        <w:rFonts w:ascii="Arial" w:hAnsi="Arial"/>
        <w:i/>
        <w:color w:val="595959" w:themeColor="text1" w:themeTint="A6"/>
        <w:sz w:val="16"/>
      </w:rPr>
      <w:tab/>
    </w:r>
    <w:r>
      <w:rPr>
        <w:rFonts w:ascii="Arial" w:hAnsi="Arial"/>
        <w:i/>
        <w:color w:val="595959" w:themeColor="text1" w:themeTint="A6"/>
        <w:sz w:val="16"/>
      </w:rPr>
      <w:tab/>
      <w:t>tel.:</w:t>
    </w:r>
    <w:r>
      <w:rPr>
        <w:rFonts w:ascii="Arial" w:hAnsi="Arial"/>
        <w:i/>
        <w:color w:val="595959" w:themeColor="text1" w:themeTint="A6"/>
        <w:sz w:val="16"/>
      </w:rPr>
      <w:tab/>
      <w:t>+420 222 360 423</w:t>
    </w:r>
  </w:p>
  <w:p w:rsidR="00DA3A80" w:rsidRDefault="00DA3A80" w:rsidP="00DA3A80">
    <w:pPr>
      <w:tabs>
        <w:tab w:val="left" w:pos="567"/>
        <w:tab w:val="left" w:pos="2268"/>
        <w:tab w:val="left" w:pos="3402"/>
        <w:tab w:val="left" w:pos="4394"/>
        <w:tab w:val="left" w:pos="6096"/>
        <w:tab w:val="left" w:pos="6946"/>
      </w:tabs>
      <w:spacing w:after="0"/>
      <w:rPr>
        <w:rFonts w:ascii="Arial" w:hAnsi="Arial"/>
        <w:i/>
        <w:color w:val="595959" w:themeColor="text1" w:themeTint="A6"/>
        <w:sz w:val="16"/>
      </w:rPr>
    </w:pPr>
    <w:r>
      <w:rPr>
        <w:rFonts w:ascii="Arial" w:hAnsi="Arial"/>
        <w:i/>
        <w:color w:val="595959" w:themeColor="text1" w:themeTint="A6"/>
        <w:sz w:val="16"/>
      </w:rPr>
      <w:t>Václava Špačka 1759</w:t>
    </w:r>
    <w:r>
      <w:rPr>
        <w:rFonts w:ascii="Arial" w:hAnsi="Arial"/>
        <w:i/>
        <w:color w:val="595959" w:themeColor="text1" w:themeTint="A6"/>
        <w:sz w:val="16"/>
      </w:rPr>
      <w:tab/>
    </w:r>
    <w:r>
      <w:rPr>
        <w:rFonts w:ascii="Arial" w:hAnsi="Arial"/>
        <w:i/>
        <w:color w:val="595959" w:themeColor="text1" w:themeTint="A6"/>
        <w:sz w:val="16"/>
      </w:rPr>
      <w:tab/>
    </w:r>
    <w:r>
      <w:rPr>
        <w:rFonts w:ascii="Arial" w:hAnsi="Arial"/>
        <w:i/>
        <w:color w:val="595959" w:themeColor="text1" w:themeTint="A6"/>
        <w:sz w:val="16"/>
      </w:rPr>
      <w:tab/>
    </w:r>
    <w:r>
      <w:rPr>
        <w:rFonts w:ascii="Arial" w:hAnsi="Arial"/>
        <w:i/>
        <w:color w:val="595959" w:themeColor="text1" w:themeTint="A6"/>
        <w:sz w:val="16"/>
      </w:rPr>
      <w:tab/>
      <w:t>fax:</w:t>
    </w:r>
    <w:r>
      <w:rPr>
        <w:rFonts w:ascii="Arial" w:hAnsi="Arial"/>
        <w:i/>
        <w:color w:val="595959" w:themeColor="text1" w:themeTint="A6"/>
        <w:sz w:val="16"/>
      </w:rPr>
      <w:tab/>
      <w:t>+420 222 365 493</w:t>
    </w:r>
    <w:r>
      <w:rPr>
        <w:rFonts w:ascii="Arial" w:hAnsi="Arial"/>
        <w:i/>
        <w:color w:val="595959" w:themeColor="text1" w:themeTint="A6"/>
        <w:sz w:val="16"/>
      </w:rPr>
      <w:tab/>
    </w:r>
  </w:p>
  <w:p w:rsidR="00DA3A80" w:rsidRDefault="00DA3A80" w:rsidP="00DA3A80">
    <w:pPr>
      <w:tabs>
        <w:tab w:val="left" w:pos="567"/>
        <w:tab w:val="left" w:pos="2268"/>
        <w:tab w:val="left" w:pos="3402"/>
        <w:tab w:val="left" w:pos="4394"/>
        <w:tab w:val="left" w:pos="6096"/>
        <w:tab w:val="left" w:pos="6946"/>
      </w:tabs>
      <w:spacing w:after="0"/>
      <w:rPr>
        <w:rFonts w:ascii="Arial" w:hAnsi="Arial"/>
        <w:i/>
        <w:color w:val="595959" w:themeColor="text1" w:themeTint="A6"/>
        <w:sz w:val="16"/>
      </w:rPr>
    </w:pPr>
    <w:r>
      <w:rPr>
        <w:rFonts w:ascii="Arial" w:hAnsi="Arial"/>
        <w:i/>
        <w:color w:val="595959" w:themeColor="text1" w:themeTint="A6"/>
        <w:sz w:val="16"/>
      </w:rPr>
      <w:t>193 00 Praha - Horní Počernice</w:t>
    </w:r>
    <w:r>
      <w:rPr>
        <w:rFonts w:ascii="Arial" w:hAnsi="Arial"/>
        <w:i/>
        <w:color w:val="595959" w:themeColor="text1" w:themeTint="A6"/>
        <w:sz w:val="16"/>
      </w:rPr>
      <w:tab/>
    </w:r>
    <w:r>
      <w:rPr>
        <w:rFonts w:ascii="Arial" w:hAnsi="Arial"/>
        <w:i/>
        <w:color w:val="595959" w:themeColor="text1" w:themeTint="A6"/>
        <w:sz w:val="16"/>
      </w:rPr>
      <w:tab/>
    </w:r>
    <w:r>
      <w:rPr>
        <w:rFonts w:ascii="Arial" w:hAnsi="Arial"/>
        <w:i/>
        <w:color w:val="595959" w:themeColor="text1" w:themeTint="A6"/>
        <w:sz w:val="16"/>
      </w:rPr>
      <w:tab/>
    </w:r>
    <w:r>
      <w:rPr>
        <w:rFonts w:ascii="Arial" w:hAnsi="Arial"/>
        <w:i/>
        <w:color w:val="595959" w:themeColor="text1" w:themeTint="A6"/>
        <w:sz w:val="16"/>
      </w:rPr>
      <w:tab/>
      <w:t>e-mail:</w:t>
    </w:r>
    <w:r>
      <w:rPr>
        <w:rFonts w:ascii="Arial" w:hAnsi="Arial"/>
        <w:i/>
        <w:color w:val="595959" w:themeColor="text1" w:themeTint="A6"/>
        <w:sz w:val="16"/>
      </w:rPr>
      <w:tab/>
      <w:t xml:space="preserve">info@diametral.cz </w:t>
    </w:r>
  </w:p>
  <w:p w:rsidR="00DA3A80" w:rsidRDefault="00DA3A80" w:rsidP="00DA3A80">
    <w:pPr>
      <w:tabs>
        <w:tab w:val="left" w:pos="567"/>
        <w:tab w:val="left" w:pos="2268"/>
        <w:tab w:val="left" w:pos="3402"/>
        <w:tab w:val="left" w:pos="4394"/>
        <w:tab w:val="left" w:pos="6096"/>
        <w:tab w:val="left" w:pos="6946"/>
      </w:tabs>
      <w:spacing w:after="0"/>
      <w:rPr>
        <w:rFonts w:ascii="Arial" w:hAnsi="Arial"/>
        <w:i/>
        <w:color w:val="595959" w:themeColor="text1" w:themeTint="A6"/>
        <w:sz w:val="16"/>
      </w:rPr>
    </w:pPr>
    <w:r>
      <w:rPr>
        <w:rFonts w:ascii="Arial" w:hAnsi="Arial"/>
        <w:i/>
        <w:color w:val="595959" w:themeColor="text1" w:themeTint="A6"/>
        <w:sz w:val="16"/>
      </w:rPr>
      <w:t>Česká republika</w:t>
    </w:r>
    <w:r>
      <w:rPr>
        <w:rFonts w:ascii="Arial" w:hAnsi="Arial"/>
        <w:i/>
        <w:color w:val="595959" w:themeColor="text1" w:themeTint="A6"/>
        <w:sz w:val="16"/>
      </w:rPr>
      <w:tab/>
    </w:r>
    <w:r>
      <w:rPr>
        <w:rFonts w:ascii="Arial" w:hAnsi="Arial"/>
        <w:i/>
        <w:color w:val="595959" w:themeColor="text1" w:themeTint="A6"/>
        <w:sz w:val="16"/>
      </w:rPr>
      <w:tab/>
    </w:r>
    <w:r>
      <w:rPr>
        <w:rFonts w:ascii="Arial" w:hAnsi="Arial"/>
        <w:i/>
        <w:color w:val="595959" w:themeColor="text1" w:themeTint="A6"/>
        <w:sz w:val="16"/>
      </w:rPr>
      <w:tab/>
    </w:r>
    <w:r>
      <w:rPr>
        <w:rFonts w:ascii="Arial" w:hAnsi="Arial"/>
        <w:i/>
        <w:color w:val="595959" w:themeColor="text1" w:themeTint="A6"/>
        <w:sz w:val="16"/>
      </w:rPr>
      <w:tab/>
      <w:t>URL:</w:t>
    </w:r>
    <w:r>
      <w:rPr>
        <w:rFonts w:ascii="Arial" w:hAnsi="Arial"/>
        <w:i/>
        <w:color w:val="595959" w:themeColor="text1" w:themeTint="A6"/>
        <w:sz w:val="16"/>
      </w:rPr>
      <w:tab/>
    </w:r>
    <w:hyperlink r:id="rId1" w:history="1">
      <w:r>
        <w:rPr>
          <w:rStyle w:val="Hypertextovodkaz"/>
          <w:rFonts w:ascii="Arial" w:hAnsi="Arial"/>
          <w:i/>
          <w:color w:val="595959" w:themeColor="text1" w:themeTint="A6"/>
          <w:sz w:val="16"/>
        </w:rPr>
        <w:t>www.diametral.cz</w:t>
      </w:r>
    </w:hyperlink>
  </w:p>
  <w:p w:rsidR="00DA3A80" w:rsidRDefault="00DA3A80" w:rsidP="00DA3A80">
    <w:pPr>
      <w:tabs>
        <w:tab w:val="left" w:pos="567"/>
        <w:tab w:val="left" w:pos="2268"/>
        <w:tab w:val="left" w:pos="3402"/>
        <w:tab w:val="left" w:pos="4394"/>
        <w:tab w:val="left" w:pos="6096"/>
        <w:tab w:val="left" w:pos="6946"/>
      </w:tabs>
      <w:spacing w:after="0"/>
      <w:rPr>
        <w:rFonts w:ascii="Arial" w:hAnsi="Arial"/>
        <w:i/>
        <w:sz w:val="16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3853180</wp:posOffset>
          </wp:positionH>
          <wp:positionV relativeFrom="paragraph">
            <wp:posOffset>101600</wp:posOffset>
          </wp:positionV>
          <wp:extent cx="1885950" cy="219075"/>
          <wp:effectExtent l="19050" t="0" r="0" b="0"/>
          <wp:wrapThrough wrapText="bothSides">
            <wp:wrapPolygon edited="0">
              <wp:start x="-218" y="0"/>
              <wp:lineTo x="-218" y="20661"/>
              <wp:lineTo x="21600" y="20661"/>
              <wp:lineTo x="21600" y="0"/>
              <wp:lineTo x="-218" y="0"/>
            </wp:wrapPolygon>
          </wp:wrapThrough>
          <wp:docPr id="4" name="Obrázek 0" descr="LOGO s 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 s 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F74B6" w:rsidRPr="00DA3A80" w:rsidRDefault="005745A5" w:rsidP="00DA3A80">
    <w:pPr>
      <w:tabs>
        <w:tab w:val="left" w:pos="567"/>
        <w:tab w:val="left" w:pos="2268"/>
        <w:tab w:val="left" w:pos="3402"/>
        <w:tab w:val="left" w:pos="4394"/>
        <w:tab w:val="left" w:pos="6096"/>
        <w:tab w:val="left" w:pos="6946"/>
      </w:tabs>
      <w:spacing w:after="0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7" type="#_x0000_t136" style="width:69.75pt;height:21pt" fillcolor="#8db3e2 [1311]" strokecolor="#8db3e2 [1311]">
          <v:shadow color="#868686"/>
          <v:textpath style="font-family:&quot;Arial Unicode MS&quot;;font-size:16pt;v-text-kern:t" trim="t" fitpath="t" string="Uno Volta"/>
        </v:shape>
      </w:pict>
    </w:r>
    <w:r w:rsidR="00DA3A80">
      <w:rPr>
        <w:rFonts w:ascii="Arial" w:hAnsi="Arial" w:cs="Arial"/>
      </w:rPr>
      <w:tab/>
    </w:r>
    <w:r w:rsidR="00DA3A80">
      <w:rPr>
        <w:rFonts w:ascii="Arial" w:hAnsi="Arial" w:cs="Arial"/>
      </w:rPr>
      <w:tab/>
    </w:r>
    <w:r w:rsidR="00DA3A80">
      <w:rPr>
        <w:rFonts w:ascii="Arial" w:hAnsi="Arial" w:cs="Arial"/>
      </w:rPr>
      <w:tab/>
    </w:r>
    <w:r w:rsidR="00DA3A80">
      <w:rPr>
        <w:rFonts w:ascii="Arial" w:hAnsi="Arial" w:cs="Arial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496" w:rsidRDefault="005F1496" w:rsidP="00BF74B6">
      <w:pPr>
        <w:spacing w:after="0" w:line="240" w:lineRule="auto"/>
      </w:pPr>
      <w:r>
        <w:separator/>
      </w:r>
    </w:p>
  </w:footnote>
  <w:footnote w:type="continuationSeparator" w:id="0">
    <w:p w:rsidR="005F1496" w:rsidRDefault="005F1496" w:rsidP="00BF7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B6" w:rsidRPr="00CC3F4A" w:rsidRDefault="00BF74B6">
    <w:pPr>
      <w:pStyle w:val="Zhlav"/>
      <w:rPr>
        <w:rFonts w:ascii="Arial Narrow" w:hAnsi="Arial Narrow"/>
        <w:color w:val="8DB3E2" w:themeColor="text2" w:themeTint="66"/>
        <w:sz w:val="40"/>
        <w:szCs w:val="40"/>
      </w:rPr>
    </w:pPr>
    <w:r>
      <w:rPr>
        <w:rFonts w:ascii="Modern" w:hAnsi="Modern"/>
      </w:rPr>
      <w:tab/>
    </w:r>
    <w:r>
      <w:rPr>
        <w:rFonts w:ascii="Modern" w:hAnsi="Modern"/>
      </w:rPr>
      <w:tab/>
    </w:r>
    <w:r w:rsidR="004B3470" w:rsidRPr="00CC3F4A">
      <w:rPr>
        <w:rFonts w:ascii="Arial Narrow" w:hAnsi="Arial Narrow"/>
        <w:color w:val="8DB3E2" w:themeColor="text2" w:themeTint="66"/>
        <w:sz w:val="40"/>
        <w:szCs w:val="40"/>
      </w:rPr>
      <w:t xml:space="preserve">Výukové panely </w:t>
    </w:r>
    <w:proofErr w:type="spellStart"/>
    <w:r w:rsidR="004B3470" w:rsidRPr="00CC3F4A">
      <w:rPr>
        <w:rFonts w:ascii="Arial Narrow" w:hAnsi="Arial Narrow"/>
        <w:color w:val="8DB3E2" w:themeColor="text2" w:themeTint="66"/>
        <w:sz w:val="40"/>
        <w:szCs w:val="40"/>
      </w:rPr>
      <w:t>Uno</w:t>
    </w:r>
    <w:proofErr w:type="spellEnd"/>
    <w:r w:rsidR="004B3470" w:rsidRPr="00CC3F4A">
      <w:rPr>
        <w:rFonts w:ascii="Arial Narrow" w:hAnsi="Arial Narrow"/>
        <w:color w:val="8DB3E2" w:themeColor="text2" w:themeTint="66"/>
        <w:sz w:val="40"/>
        <w:szCs w:val="40"/>
      </w:rPr>
      <w:t xml:space="preserve"> Volta</w:t>
    </w:r>
    <w:r w:rsidRPr="00CC3F4A">
      <w:rPr>
        <w:rFonts w:ascii="Arial Narrow" w:hAnsi="Arial Narrow"/>
        <w:color w:val="8DB3E2" w:themeColor="text2" w:themeTint="66"/>
        <w:sz w:val="40"/>
        <w:szCs w:val="40"/>
      </w:rPr>
      <w:t xml:space="preserve">                      </w:t>
    </w:r>
  </w:p>
  <w:p w:rsidR="00BF74B6" w:rsidRDefault="00BF74B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F5948"/>
    <w:multiLevelType w:val="hybridMultilevel"/>
    <w:tmpl w:val="31A863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7254F"/>
    <w:multiLevelType w:val="hybridMultilevel"/>
    <w:tmpl w:val="45D2F1F4"/>
    <w:lvl w:ilvl="0" w:tplc="14541D8E">
      <w:start w:val="1"/>
      <w:numFmt w:val="decimal"/>
      <w:lvlText w:val="%1)"/>
      <w:lvlJc w:val="left"/>
      <w:pPr>
        <w:ind w:left="720" w:hanging="360"/>
      </w:pPr>
      <w:rPr>
        <w:rFonts w:hint="default"/>
        <w:color w:val="11111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BD7E8B"/>
    <w:rsid w:val="00055EED"/>
    <w:rsid w:val="00090236"/>
    <w:rsid w:val="000A698B"/>
    <w:rsid w:val="00154765"/>
    <w:rsid w:val="00190927"/>
    <w:rsid w:val="001A6FCA"/>
    <w:rsid w:val="00222F99"/>
    <w:rsid w:val="00230AFF"/>
    <w:rsid w:val="002B253B"/>
    <w:rsid w:val="00343C90"/>
    <w:rsid w:val="003F0A0D"/>
    <w:rsid w:val="00401472"/>
    <w:rsid w:val="004115BB"/>
    <w:rsid w:val="00461169"/>
    <w:rsid w:val="004B3470"/>
    <w:rsid w:val="004C646E"/>
    <w:rsid w:val="00537853"/>
    <w:rsid w:val="00544D4D"/>
    <w:rsid w:val="005745A5"/>
    <w:rsid w:val="00584817"/>
    <w:rsid w:val="005C6291"/>
    <w:rsid w:val="005F1496"/>
    <w:rsid w:val="00663AFD"/>
    <w:rsid w:val="006A3D66"/>
    <w:rsid w:val="006A4DC6"/>
    <w:rsid w:val="006C3D44"/>
    <w:rsid w:val="006D036A"/>
    <w:rsid w:val="006F3BAD"/>
    <w:rsid w:val="00720AEC"/>
    <w:rsid w:val="00750740"/>
    <w:rsid w:val="00753553"/>
    <w:rsid w:val="00756C33"/>
    <w:rsid w:val="00774001"/>
    <w:rsid w:val="007B5692"/>
    <w:rsid w:val="00834682"/>
    <w:rsid w:val="008359C6"/>
    <w:rsid w:val="00836282"/>
    <w:rsid w:val="008764C7"/>
    <w:rsid w:val="008E5855"/>
    <w:rsid w:val="008F14B5"/>
    <w:rsid w:val="009176F5"/>
    <w:rsid w:val="00921ADC"/>
    <w:rsid w:val="00987562"/>
    <w:rsid w:val="00B444D4"/>
    <w:rsid w:val="00B46B07"/>
    <w:rsid w:val="00B757E1"/>
    <w:rsid w:val="00B81B41"/>
    <w:rsid w:val="00BD7E8B"/>
    <w:rsid w:val="00BF74B6"/>
    <w:rsid w:val="00C24907"/>
    <w:rsid w:val="00C66D46"/>
    <w:rsid w:val="00CB1679"/>
    <w:rsid w:val="00CC2364"/>
    <w:rsid w:val="00CC3F4A"/>
    <w:rsid w:val="00CD34E8"/>
    <w:rsid w:val="00D4124E"/>
    <w:rsid w:val="00D933AF"/>
    <w:rsid w:val="00DA1F2C"/>
    <w:rsid w:val="00DA3A80"/>
    <w:rsid w:val="00DB12FA"/>
    <w:rsid w:val="00DE0976"/>
    <w:rsid w:val="00DE35B6"/>
    <w:rsid w:val="00E02BC7"/>
    <w:rsid w:val="00E21AAE"/>
    <w:rsid w:val="00E5109C"/>
    <w:rsid w:val="00EB27AE"/>
    <w:rsid w:val="00EC39FE"/>
    <w:rsid w:val="00EE6677"/>
    <w:rsid w:val="00F05DF2"/>
    <w:rsid w:val="00F517FA"/>
    <w:rsid w:val="00F561CE"/>
    <w:rsid w:val="00F61878"/>
    <w:rsid w:val="00FA6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5692"/>
  </w:style>
  <w:style w:type="paragraph" w:styleId="Nadpis1">
    <w:name w:val="heading 1"/>
    <w:basedOn w:val="Normln"/>
    <w:next w:val="Normln"/>
    <w:link w:val="Nadpis1Char"/>
    <w:uiPriority w:val="9"/>
    <w:qFormat/>
    <w:rsid w:val="00720A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DE35B6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0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F7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74B6"/>
  </w:style>
  <w:style w:type="paragraph" w:styleId="Zpat">
    <w:name w:val="footer"/>
    <w:basedOn w:val="Normln"/>
    <w:link w:val="ZpatChar"/>
    <w:uiPriority w:val="99"/>
    <w:unhideWhenUsed/>
    <w:rsid w:val="00BF7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74B6"/>
  </w:style>
  <w:style w:type="paragraph" w:styleId="Textbubliny">
    <w:name w:val="Balloon Text"/>
    <w:basedOn w:val="Normln"/>
    <w:link w:val="TextbublinyChar"/>
    <w:uiPriority w:val="99"/>
    <w:semiHidden/>
    <w:unhideWhenUsed/>
    <w:rsid w:val="00BF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4B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F74B6"/>
    <w:rPr>
      <w:color w:val="0000FF" w:themeColor="hyperlink"/>
      <w:u w:val="single"/>
    </w:rPr>
  </w:style>
  <w:style w:type="paragraph" w:styleId="Podtitul">
    <w:name w:val="Subtitle"/>
    <w:basedOn w:val="Normln"/>
    <w:next w:val="Normln"/>
    <w:link w:val="PodtitulChar"/>
    <w:uiPriority w:val="11"/>
    <w:qFormat/>
    <w:rsid w:val="008346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346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834682"/>
    <w:rPr>
      <w:i/>
      <w:iCs/>
      <w:color w:val="808080" w:themeColor="text1" w:themeTint="7F"/>
    </w:rPr>
  </w:style>
  <w:style w:type="character" w:styleId="Odkazjemn">
    <w:name w:val="Subtle Reference"/>
    <w:basedOn w:val="Standardnpsmoodstavce"/>
    <w:uiPriority w:val="31"/>
    <w:qFormat/>
    <w:rsid w:val="00834682"/>
    <w:rPr>
      <w:smallCaps/>
      <w:color w:val="C0504D" w:themeColor="accent2"/>
      <w:u w:val="single"/>
    </w:rPr>
  </w:style>
  <w:style w:type="table" w:styleId="Mkatabulky">
    <w:name w:val="Table Grid"/>
    <w:basedOn w:val="Normlntabulka"/>
    <w:uiPriority w:val="59"/>
    <w:rsid w:val="00834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34682"/>
    <w:pPr>
      <w:ind w:left="720"/>
      <w:contextualSpacing/>
    </w:pPr>
  </w:style>
  <w:style w:type="table" w:customStyle="1" w:styleId="Svtlstnovnzvraznn11">
    <w:name w:val="Světlé stínování – zvýraznění 11"/>
    <w:basedOn w:val="Normlntabulka"/>
    <w:uiPriority w:val="60"/>
    <w:rsid w:val="0083468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tylVLhlavika">
    <w:name w:val="styl VL hlavička"/>
    <w:basedOn w:val="Normlntabulka"/>
    <w:uiPriority w:val="99"/>
    <w:qFormat/>
    <w:rsid w:val="00537853"/>
    <w:pPr>
      <w:spacing w:after="0" w:line="240" w:lineRule="auto"/>
    </w:pPr>
    <w:tblPr>
      <w:tblInd w:w="0" w:type="dxa"/>
      <w:tblBorders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Theme="minorHAnsi" w:hAnsiTheme="minorHAnsi"/>
        <w:b/>
      </w:rPr>
    </w:tblStylePr>
  </w:style>
  <w:style w:type="table" w:customStyle="1" w:styleId="Svtlseznamzvraznn11">
    <w:name w:val="Světlý seznam – zvýraznění 11"/>
    <w:basedOn w:val="Normlntabulka"/>
    <w:uiPriority w:val="61"/>
    <w:rsid w:val="004C64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DE35B6"/>
    <w:rPr>
      <w:rFonts w:ascii="Arial" w:eastAsia="Times New Roman" w:hAnsi="Arial" w:cs="Arial"/>
      <w:b/>
      <w:bCs/>
      <w:sz w:val="20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9176F5"/>
    <w:pPr>
      <w:spacing w:after="120"/>
    </w:pPr>
    <w:rPr>
      <w:rFonts w:ascii="Calibri" w:eastAsia="Times New Roman" w:hAnsi="Calibri" w:cs="Times New Roman"/>
    </w:rPr>
  </w:style>
  <w:style w:type="character" w:customStyle="1" w:styleId="ZkladntextChar">
    <w:name w:val="Základní text Char"/>
    <w:basedOn w:val="Standardnpsmoodstavce"/>
    <w:link w:val="Zkladntext"/>
    <w:semiHidden/>
    <w:rsid w:val="009176F5"/>
    <w:rPr>
      <w:rFonts w:ascii="Calibri" w:eastAsia="Times New Roman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720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299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8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3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089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514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3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844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0161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7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1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50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008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9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361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579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48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1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68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9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8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963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9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5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057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17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diametral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&#237;t%20Majt&#225;s\Documents\WORD%20&#353;ablony%20Diametral\VarioLAB%20moduly%20&#353;ablona%20ofici&#225;ln&#237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232CE-476C-4E8A-8D37-E2A1BF66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VarioLAB moduly šablona oficiální</Template>
  <TotalTime>8</TotalTime>
  <Pages>2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Majtás</dc:creator>
  <cp:lastModifiedBy>Vít Majtás</cp:lastModifiedBy>
  <cp:revision>5</cp:revision>
  <cp:lastPrinted>2017-04-27T10:14:00Z</cp:lastPrinted>
  <dcterms:created xsi:type="dcterms:W3CDTF">2016-06-06T10:21:00Z</dcterms:created>
  <dcterms:modified xsi:type="dcterms:W3CDTF">2017-04-27T10:14:00Z</dcterms:modified>
</cp:coreProperties>
</file>